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" w:eastAsia="黑体"/>
          <w:kern w:val="6"/>
          <w:szCs w:val="32"/>
        </w:rPr>
      </w:pPr>
      <w:bookmarkStart w:id="0" w:name="_GoBack"/>
      <w:r>
        <w:rPr>
          <w:rFonts w:hint="eastAsia" w:ascii="黑体" w:hAnsi="仿宋" w:eastAsia="黑体"/>
          <w:kern w:val="6"/>
          <w:szCs w:val="32"/>
        </w:rPr>
        <w:t>附件1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kern w:val="6"/>
          <w:sz w:val="36"/>
          <w:szCs w:val="36"/>
        </w:rPr>
      </w:pP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kern w:val="6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6"/>
          <w:sz w:val="36"/>
          <w:szCs w:val="36"/>
        </w:rPr>
        <w:t>2022年度市教委社会科学重大项目课题指南</w:t>
      </w:r>
      <w:bookmarkEnd w:id="0"/>
    </w:p>
    <w:p>
      <w:pPr>
        <w:spacing w:before="3" w:line="500" w:lineRule="exact"/>
        <w:ind w:left="630" w:right="17"/>
        <w:rPr>
          <w:rFonts w:hint="eastAsia" w:ascii="黑体" w:hAnsi="黑体" w:eastAsia="黑体" w:cs="黑体"/>
          <w:bCs/>
          <w:kern w:val="6"/>
          <w:szCs w:val="32"/>
        </w:rPr>
      </w:pPr>
    </w:p>
    <w:p>
      <w:pPr>
        <w:spacing w:before="3" w:line="500" w:lineRule="exact"/>
        <w:ind w:left="630" w:right="17"/>
        <w:rPr>
          <w:rFonts w:hint="eastAsia" w:cs="Courier New"/>
          <w:b/>
          <w:kern w:val="6"/>
          <w:szCs w:val="32"/>
        </w:rPr>
      </w:pPr>
      <w:r>
        <w:rPr>
          <w:rFonts w:hint="eastAsia" w:ascii="黑体" w:hAnsi="黑体" w:eastAsia="黑体" w:cs="黑体"/>
          <w:bCs/>
          <w:kern w:val="6"/>
          <w:szCs w:val="32"/>
        </w:rPr>
        <w:t>一、习近平新时代中国特色社会主义思想研究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1.习近平新时代中国特色社会主义思想的科学体系研究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 xml:space="preserve">2.习近平新时代中国特色社会主义思想的世界意义研究  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 xml:space="preserve">3.习近平总书记关于教育、青年工作的重要论述研究       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 xml:space="preserve">4.习近平总书记关于京津冀协同发展重要论述研究     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 xml:space="preserve">5.习近平新时代中国特色社会主义思想进教材进课堂进头脑研究          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 xml:space="preserve">6.党的创新理论引领贯穿中国哲学社会科学知识体系研究 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7.习近平法治思想融入教育体系研究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8.人类命运共同体思想对外话语体系研究</w:t>
      </w:r>
    </w:p>
    <w:p>
      <w:pPr>
        <w:spacing w:before="3" w:line="500" w:lineRule="exact"/>
        <w:ind w:left="630" w:right="17"/>
        <w:rPr>
          <w:rFonts w:ascii="Times New Roman"/>
          <w:b/>
          <w:kern w:val="6"/>
          <w:szCs w:val="32"/>
        </w:rPr>
      </w:pPr>
    </w:p>
    <w:p>
      <w:pPr>
        <w:spacing w:before="3" w:line="500" w:lineRule="exact"/>
        <w:ind w:left="630" w:right="17"/>
        <w:rPr>
          <w:rFonts w:hint="eastAsia" w:ascii="黑体" w:hAnsi="黑体" w:eastAsia="黑体" w:cs="黑体"/>
          <w:bCs/>
          <w:kern w:val="6"/>
          <w:szCs w:val="32"/>
        </w:rPr>
      </w:pPr>
      <w:r>
        <w:rPr>
          <w:rFonts w:hint="eastAsia" w:ascii="黑体" w:hAnsi="黑体" w:eastAsia="黑体" w:cs="黑体"/>
          <w:bCs/>
          <w:kern w:val="6"/>
          <w:szCs w:val="32"/>
        </w:rPr>
        <w:t>二、天津经济社会发展理论和实践问题研究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9.新时代机关年轻干部培养模式创新研究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10.京津冀协同发展中政务服务“跨省通办”的府际协作制度研究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11.常态化精准公共卫生防控与旅游健康保障体系建设研究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12.国有企业数字化转型研究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13.高质量互联网医院服务体系设计研究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14.天津航空客运业免接触服务数字化转型研究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15.天津数智升级市场复杂风险预警及控制策略研究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16.后疫情时代天津航空物流供应链韧性影响因素及提升策略研究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17.天津市实体企业金融资产配置与产业创新研究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18.天津制造业与生产性服务业融合发展研究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19.价值网络重构对天津市民营企业高质量发展的影响机理研究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20.乡村振兴战略与农村教育高质量发展研究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21.天津市民营资本支持乡村振兴的路径研究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22.乡村振兴战略背景下农民素质提升路径研究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23.基于京津冀协同的乡村特色发展模式研究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24.京津冀协同发展背景下金融支持乡村振兴创新研究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25.国学雅美与艺术设计创新助力乡村振兴战略研究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26.天津市城市更新行动中公众参与机制及实施途径研究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27.面向未来社区建设的既有社区更新智慧决策方法研究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28.天津海洋文化遗产保护研究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29.天津非物质文化遗产与数字媒体艺术同构设计研究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30.要素市场化配置下的天津国有企业改革创新的路径优化研究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31.天津市全民健身智慧化服务体系建设研究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32.天津媒体深度融合发展与传播方略研究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33.老年脑血管病健康管理模式研究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34.促进高质量就业的天津财税政策选择与优化研究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35.“双碳”发展新模式与新路径研究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36.数字化经济下天津市信创领域科技人才图谱研究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37.基于制造业立市的天津高端装备运维人才培养研究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38.天津装备制造业数字化转型中的会计和财务问题研究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39.天津市打造环天南大知识经济圈的社区更新路径研究</w:t>
      </w:r>
    </w:p>
    <w:p>
      <w:pPr>
        <w:spacing w:before="3" w:line="500" w:lineRule="exact"/>
        <w:ind w:left="630" w:right="17"/>
        <w:rPr>
          <w:rFonts w:hint="eastAsia" w:cs="Courier New"/>
          <w:b/>
          <w:kern w:val="6"/>
          <w:szCs w:val="32"/>
        </w:rPr>
      </w:pPr>
    </w:p>
    <w:p>
      <w:pPr>
        <w:spacing w:before="3" w:line="500" w:lineRule="exact"/>
        <w:ind w:left="630" w:right="17"/>
        <w:rPr>
          <w:rFonts w:hint="eastAsia" w:ascii="黑体" w:hAnsi="黑体" w:eastAsia="黑体" w:cs="黑体"/>
          <w:bCs/>
          <w:kern w:val="6"/>
          <w:szCs w:val="32"/>
        </w:rPr>
      </w:pPr>
      <w:r>
        <w:rPr>
          <w:rFonts w:hint="eastAsia" w:ascii="黑体" w:hAnsi="黑体" w:eastAsia="黑体" w:cs="黑体"/>
          <w:bCs/>
          <w:kern w:val="6"/>
          <w:szCs w:val="32"/>
        </w:rPr>
        <w:t>三、天津高等教育高质量内涵发展研究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40.关于高校党建引领高等教育高质量发展的研究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41.天津市高校思政课动态监测体系构建研究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42.高等学校课程思政改革与实践研究　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43.天津市教育发展规划评估监测分析与对策研究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44.天津教育事业统计数据分析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45.天津市高等教育高质量发展评价研究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46.中国高质量教育体系建设的“安全”逻辑与实施路径研究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47.新工科、新农科、新医科、新文科教学改革与实践研究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48.稳步发展背景下职业本科院校专业群建设模式及优化策略研究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49.产教融合背景下高校工程专业学位研究生培养模式创新研究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50.基于天津市高校研究生推荐免试供需平衡的招生战略研究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51.天津市航空产业特色学科群建设研究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52.基于学科教研组建设促进课堂教学提质增效的实践研究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53.新形势下我市高等学校基础学科人才培养问题研究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54.高等学校产教融合的创新与实践研究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55.天津市教材规划编制研究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56.加快数字经济发展的高等教育发展战略目标研究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57.创新型知识产权专业人才培养模式研究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58.促进高校科技成果转移转化机制研究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59.开放教育高质量办学模式创新与实践研究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60.后疫情时代的高校校园生活重建及环境微更新策略研究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61.新时代深化教育评价改革背景下“考试文化”现代转型路径研究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62.常态化疫情防控下天津高校舆情导控的社会共治研究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63.职业教育法背景下高职院校工匠精神培育体系研究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64.校方责任保险法律问题研究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65.少数民族大学生中华民族共同体意识培育的路径研究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66.天津民办高校联盟机制构建与服务地方功能研究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67.新时代劳动教育的理论逻辑、价值意蕴和实践路径研究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68.基于五育融合的艺术院校戏剧人才培养模式研究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69.“运动之都”战略下天津市普通高校体育教育体系供给侧改革研究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70.高校知识产权全流程服务实现路径研究</w:t>
      </w:r>
    </w:p>
    <w:p>
      <w:pPr>
        <w:spacing w:before="3" w:line="500" w:lineRule="exact"/>
        <w:ind w:left="630" w:right="17"/>
        <w:rPr>
          <w:rFonts w:cs="Courier New"/>
          <w:kern w:val="6"/>
          <w:szCs w:val="32"/>
        </w:rPr>
      </w:pPr>
    </w:p>
    <w:p>
      <w:pPr>
        <w:spacing w:before="3" w:line="500" w:lineRule="exact"/>
        <w:ind w:left="630" w:right="17"/>
        <w:rPr>
          <w:rFonts w:hint="eastAsia" w:ascii="黑体" w:hAnsi="黑体" w:eastAsia="黑体" w:cs="黑体"/>
          <w:bCs/>
          <w:kern w:val="6"/>
          <w:szCs w:val="32"/>
        </w:rPr>
      </w:pPr>
      <w:r>
        <w:rPr>
          <w:rFonts w:hint="eastAsia" w:ascii="黑体" w:hAnsi="黑体" w:eastAsia="黑体" w:cs="黑体"/>
          <w:bCs/>
          <w:kern w:val="6"/>
          <w:szCs w:val="32"/>
        </w:rPr>
        <w:t>四、天津中小学教育改革研究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71.新时代中小学课程思政实践研究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72.天津市中小学地方课程教材建设规划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73.新课标下中小学“备、教、学、评”一体化改革与实践研究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74.基础教育综合改革国家实验区建设路径与推进策略研究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75.基础教育学科特色课程建设实践研究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76.中小学实验教学质量提升的实践研究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77.有效实施中小学线上线下混合式教学研究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78.基础教育优质课程资源开发建设与应用研究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79.线上线下教研与协同备课实践研究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80.义务教育新课程方案与课程标准有效实施研究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81.课后服务优质课程资源建设与应用研究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82.提高作业管理与设计水平的实践研究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83.品牌高中建设项目校本化实施策略研究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84.普通高中“强校工程”校本化实施策略研究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85.普通高中育人方式改革的实践研究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86.区域开展普通高中办学质量评价的实践研究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87.特殊教育融合发展的实践研究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88.中考命题质量提升的实践研究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89.“双减”政策下戏剧教育对中小学生素质提升的影响研究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90.基于韧性理论的城市中小学校园安全风险评估指标体系研究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91.“双减”视域下学生主动健康运动行为评价研究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ascii="Times New Roman"/>
          <w:kern w:val="6"/>
          <w:szCs w:val="32"/>
        </w:rPr>
        <w:t>92.家-校-医联动构建中小学生眼健康与近视防控综合管理体系的探索与研究</w:t>
      </w:r>
    </w:p>
    <w:p>
      <w:pPr>
        <w:spacing w:before="3" w:line="500" w:lineRule="exact"/>
        <w:ind w:left="630" w:right="17"/>
        <w:rPr>
          <w:rFonts w:ascii="Times New Roman"/>
          <w:kern w:val="6"/>
          <w:szCs w:val="32"/>
        </w:rPr>
      </w:pPr>
      <w:r>
        <w:rPr>
          <w:rFonts w:hint="eastAsia" w:ascii="Times New Roman"/>
          <w:kern w:val="6"/>
          <w:szCs w:val="32"/>
        </w:rPr>
        <w:t>93.</w:t>
      </w:r>
      <w:r>
        <w:rPr>
          <w:rFonts w:ascii="Times New Roman"/>
          <w:kern w:val="6"/>
          <w:szCs w:val="32"/>
        </w:rPr>
        <w:t xml:space="preserve"> 其他与国家重大战略和天津市经济社会发展需求相关的研究课题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8804"/>
    <w:rsid w:val="FFBF8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2022-07-18T10:58:00Z</dcterms:created>
  <dc:creator>liujiahang</dc:creator>
  <cp:lastModifiedBy>liujiahang</cp:lastModifiedBy>
  <dcterms:modified xsi:type="dcterms:W3CDTF">2022-07-18T11:02:32Z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